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EE1" w:rsidRDefault="00361EE1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61EE1" w:rsidRDefault="00361EE1">
      <w:pPr>
        <w:pStyle w:val="ConsPlusNormal"/>
        <w:jc w:val="both"/>
        <w:outlineLvl w:val="0"/>
      </w:pPr>
    </w:p>
    <w:p w:rsidR="00361EE1" w:rsidRDefault="00361EE1">
      <w:pPr>
        <w:pStyle w:val="ConsPlusNormal"/>
        <w:outlineLvl w:val="0"/>
      </w:pPr>
      <w:r>
        <w:t>Зарегистрировано в Минюсте России 8 июня 2022 г. N 68783</w:t>
      </w:r>
    </w:p>
    <w:p w:rsidR="00361EE1" w:rsidRDefault="00361EE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Title"/>
        <w:jc w:val="center"/>
      </w:pPr>
      <w:r>
        <w:t>МИНИСТЕРСТВО СТРОИТЕЛЬСТВА И ЖИЛИЩНО-КОММУНАЛЬНОГО</w:t>
      </w:r>
    </w:p>
    <w:p w:rsidR="00361EE1" w:rsidRDefault="00361EE1">
      <w:pPr>
        <w:pStyle w:val="ConsPlusTitle"/>
        <w:jc w:val="center"/>
      </w:pPr>
      <w:r>
        <w:t>ХОЗЯЙСТВА РОССИЙСКОЙ ФЕДЕРАЦИИ</w:t>
      </w:r>
    </w:p>
    <w:p w:rsidR="00361EE1" w:rsidRDefault="00361EE1">
      <w:pPr>
        <w:pStyle w:val="ConsPlusTitle"/>
        <w:jc w:val="center"/>
      </w:pPr>
    </w:p>
    <w:p w:rsidR="00361EE1" w:rsidRDefault="00361EE1">
      <w:pPr>
        <w:pStyle w:val="ConsPlusTitle"/>
        <w:jc w:val="center"/>
      </w:pPr>
      <w:r>
        <w:t>ПРИКАЗ</w:t>
      </w:r>
    </w:p>
    <w:p w:rsidR="00361EE1" w:rsidRDefault="00361EE1">
      <w:pPr>
        <w:pStyle w:val="ConsPlusTitle"/>
        <w:jc w:val="center"/>
      </w:pPr>
      <w:r>
        <w:t>от 21 апреля 2022 г. N 307/пр</w:t>
      </w:r>
    </w:p>
    <w:p w:rsidR="00361EE1" w:rsidRDefault="00361EE1">
      <w:pPr>
        <w:pStyle w:val="ConsPlusTitle"/>
        <w:jc w:val="center"/>
      </w:pPr>
    </w:p>
    <w:p w:rsidR="00361EE1" w:rsidRDefault="00361EE1">
      <w:pPr>
        <w:pStyle w:val="ConsPlusTitle"/>
        <w:jc w:val="center"/>
      </w:pPr>
      <w:r>
        <w:t>ОБ УТВЕРЖДЕНИИ ФОРМЫ ЗАДАНИЯ</w:t>
      </w:r>
    </w:p>
    <w:p w:rsidR="00361EE1" w:rsidRDefault="00361EE1">
      <w:pPr>
        <w:pStyle w:val="ConsPlusTitle"/>
        <w:jc w:val="center"/>
      </w:pPr>
      <w:r>
        <w:t>ЗАСТРОЙЩИКА ИЛИ ТЕХНИЧЕСКОГО ЗАКАЗЧИКА НА ПРОЕКТИРОВАНИЕ</w:t>
      </w:r>
    </w:p>
    <w:p w:rsidR="00361EE1" w:rsidRDefault="00361EE1">
      <w:pPr>
        <w:pStyle w:val="ConsPlusTitle"/>
        <w:jc w:val="center"/>
      </w:pPr>
      <w:r>
        <w:t>ОБЪЕКТА КАПИТАЛЬНОГО СТРОИТЕЛЬСТВА, СТРОИТЕЛЬСТВО,</w:t>
      </w:r>
    </w:p>
    <w:p w:rsidR="00361EE1" w:rsidRDefault="00361EE1">
      <w:pPr>
        <w:pStyle w:val="ConsPlusTitle"/>
        <w:jc w:val="center"/>
      </w:pPr>
      <w:r>
        <w:t>РЕКОНСТРУКЦИЯ, КАПИТАЛЬНЫЙ РЕМОНТ КОТОРОГО ОСУЩЕСТВЛЯЮТСЯ</w:t>
      </w:r>
    </w:p>
    <w:p w:rsidR="00361EE1" w:rsidRDefault="00361EE1">
      <w:pPr>
        <w:pStyle w:val="ConsPlusTitle"/>
        <w:jc w:val="center"/>
      </w:pPr>
      <w:r>
        <w:t>С ПРИВЛЕЧЕНИЕМ СРЕДСТВ БЮДЖЕТНОЙ СИСТЕМЫ</w:t>
      </w:r>
    </w:p>
    <w:p w:rsidR="00361EE1" w:rsidRDefault="00361EE1">
      <w:pPr>
        <w:pStyle w:val="ConsPlusTitle"/>
        <w:jc w:val="center"/>
      </w:pPr>
      <w:r>
        <w:t>РОССИЙСКОЙ ФЕДЕРАЦИИ</w:t>
      </w:r>
    </w:p>
    <w:p w:rsidR="00361EE1" w:rsidRDefault="00361EE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61EE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EE1" w:rsidRDefault="00361EE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EE1" w:rsidRDefault="00361EE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1EE1" w:rsidRDefault="00361E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1EE1" w:rsidRDefault="00361E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Минстроя России от 07.08.2023 N 565/пр)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EE1" w:rsidRDefault="00361EE1">
            <w:pPr>
              <w:pStyle w:val="ConsPlusNormal"/>
            </w:pPr>
          </w:p>
        </w:tc>
      </w:tr>
    </w:tbl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12.4 статьи 48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2021, N 50, ст. 8415) и </w:t>
      </w:r>
      <w:hyperlink r:id="rId7">
        <w:r>
          <w:rPr>
            <w:color w:val="0000FF"/>
          </w:rPr>
          <w:t>подпунктом 5.2.101(36) пункта 5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 2022, N 11, ст. 1714), приказываю:</w:t>
      </w:r>
    </w:p>
    <w:p w:rsidR="00361EE1" w:rsidRDefault="00361EE1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39">
        <w:r>
          <w:rPr>
            <w:color w:val="0000FF"/>
          </w:rPr>
          <w:t>Форму</w:t>
        </w:r>
      </w:hyperlink>
      <w:r>
        <w:t xml:space="preserve"> задания застройщика или технического заказчика на проектирование объекта капитального строительства, строительство, реконструкция, капитальный ремонт которого осуществляются с привлечением средств бюджетной системы Российской Федерации, согласно приложению к настоящему приказу.</w:t>
      </w: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right"/>
      </w:pPr>
      <w:r>
        <w:t>Министр</w:t>
      </w:r>
    </w:p>
    <w:p w:rsidR="00361EE1" w:rsidRDefault="00361EE1">
      <w:pPr>
        <w:pStyle w:val="ConsPlusNormal"/>
        <w:jc w:val="right"/>
      </w:pPr>
      <w:r>
        <w:t>И.Э.ФАЙЗУЛЛИН</w:t>
      </w: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right"/>
        <w:outlineLvl w:val="0"/>
      </w:pPr>
      <w:r>
        <w:t>Утверждена</w:t>
      </w:r>
    </w:p>
    <w:p w:rsidR="00361EE1" w:rsidRDefault="00361EE1">
      <w:pPr>
        <w:pStyle w:val="ConsPlusNormal"/>
        <w:jc w:val="right"/>
      </w:pPr>
      <w:r>
        <w:t>приказом Министерства строительства</w:t>
      </w:r>
    </w:p>
    <w:p w:rsidR="00361EE1" w:rsidRDefault="00361EE1">
      <w:pPr>
        <w:pStyle w:val="ConsPlusNormal"/>
        <w:jc w:val="right"/>
      </w:pPr>
      <w:r>
        <w:t>и жилищно-коммунального хозяйства</w:t>
      </w:r>
    </w:p>
    <w:p w:rsidR="00361EE1" w:rsidRDefault="00361EE1">
      <w:pPr>
        <w:pStyle w:val="ConsPlusNormal"/>
        <w:jc w:val="right"/>
      </w:pPr>
      <w:r>
        <w:t>Российской Федерации</w:t>
      </w:r>
    </w:p>
    <w:p w:rsidR="00361EE1" w:rsidRDefault="00361EE1">
      <w:pPr>
        <w:pStyle w:val="ConsPlusNormal"/>
        <w:jc w:val="right"/>
      </w:pPr>
      <w:r>
        <w:t>от 21 апреля 2022 г. N 307/пр</w:t>
      </w:r>
    </w:p>
    <w:p w:rsidR="00361EE1" w:rsidRDefault="00361EE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61EE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EE1" w:rsidRDefault="00361EE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EE1" w:rsidRDefault="00361EE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61EE1" w:rsidRDefault="00361E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1EE1" w:rsidRDefault="00361EE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Минстроя России от 07.08.2023 N 565/пр)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61EE1" w:rsidRDefault="00361EE1">
            <w:pPr>
              <w:pStyle w:val="ConsPlusNormal"/>
            </w:pPr>
          </w:p>
        </w:tc>
      </w:tr>
    </w:tbl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right"/>
      </w:pPr>
      <w:r>
        <w:t>Форма</w:t>
      </w:r>
    </w:p>
    <w:p w:rsidR="00361EE1" w:rsidRDefault="00361EE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bookmarkStart w:id="1" w:name="P39"/>
            <w:bookmarkEnd w:id="1"/>
            <w:r>
              <w:lastRenderedPageBreak/>
              <w:t>Задание</w:t>
            </w:r>
          </w:p>
          <w:p w:rsidR="00361EE1" w:rsidRDefault="00361EE1">
            <w:pPr>
              <w:pStyle w:val="ConsPlusNormal"/>
              <w:jc w:val="center"/>
            </w:pPr>
            <w:r>
              <w:t xml:space="preserve">застройщика или технического заказчика </w:t>
            </w:r>
            <w:hyperlink w:anchor="P312">
              <w:r>
                <w:rPr>
                  <w:color w:val="0000FF"/>
                </w:rPr>
                <w:t>&lt;1&gt;</w:t>
              </w:r>
            </w:hyperlink>
            <w:r>
              <w:t xml:space="preserve"> на проектирование объекта капитального строительства, строительство, реконструкция, капитальный ремонт которого осуществляются с привлечением средств бюджетной системы Российской Федерации</w:t>
            </w:r>
          </w:p>
          <w:p w:rsidR="00361EE1" w:rsidRDefault="00361EE1">
            <w:pPr>
              <w:pStyle w:val="ConsPlusNormal"/>
              <w:jc w:val="center"/>
            </w:pPr>
            <w:r>
              <w:t>____________________________________________________________</w:t>
            </w:r>
          </w:p>
          <w:p w:rsidR="00361EE1" w:rsidRDefault="00361EE1">
            <w:pPr>
              <w:pStyle w:val="ConsPlusNormal"/>
              <w:jc w:val="center"/>
            </w:pPr>
            <w:r>
              <w:t>(наименование и адрес (местонахождение) объекта</w:t>
            </w:r>
          </w:p>
          <w:p w:rsidR="00361EE1" w:rsidRDefault="00361EE1">
            <w:pPr>
              <w:pStyle w:val="ConsPlusNormal"/>
              <w:jc w:val="center"/>
            </w:pPr>
            <w:r>
              <w:t>капитального строительства (далее - объект)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  <w:outlineLvl w:val="1"/>
            </w:pPr>
            <w:r>
              <w:t>I. Общие данные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1. Основание для проектирования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(указываются реквизиты документов, на основании которых принято решение о разработке проектной документации, приведенные в </w:t>
            </w:r>
            <w:hyperlink r:id="rId9">
              <w:r>
                <w:rPr>
                  <w:color w:val="0000FF"/>
                </w:rPr>
                <w:t>подпункте "а" пункта 10</w:t>
              </w:r>
            </w:hyperlink>
            <w:r>
              <w:t xml:space="preserve"> Положения о составе разделов проектной документации и требованиях к их содержанию, утвержденного постановлением Правительства Российской Федерации от 16 февраля 2008 г. N 87 (Собрание законодательства Российской Федерации, 2008, N 8, ст. 744)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2. Застройщик (технический заказчик):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наименование, почтовый адрес, основной государственный регистрационный номер и идентификационный номер налогоплательщика)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3. Инвестор (при наличии):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наименование, почтовый адрес, основной государственный регистрационный номер и идентификационный номер налогоплательщика)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 xml:space="preserve">4. Сведения об объекте в соответствии с </w:t>
            </w:r>
            <w:hyperlink r:id="rId10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объектов капитального строительства по их назначению и функционально-технологическим особенностям (для целей архитектурно-строительного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строительства), утвержденным приказом Минстроя России от 10 июля 2020 г. N 374/пр (зарегистрирован Министерством юстиции Российской Федерации 14 августа 2020 г., регистрационный N 59273):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группа, вид объекта строительства, код)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5. Вид работ: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(строительство, реконструкция, в том числе с проведением работ по сохранению объектов культурного наследия (памятников истории и культуры) народов Российской Федерации, капитальный ремонт (далее - строительство)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lastRenderedPageBreak/>
              <w:t>6. Источник и объем финансирования строительства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наименование источника финансирования, в том числе федеральный бюджет, региональный бюджет, местный бюджет, внебюджетные средства, а также объем выделенных средств)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7. Технические условия подключения (технологического присоединения) объектов капитального строительства к сетям инженерно-технического обеспечения, применяемые в целях архитектурно-строительного проектирования (при наличии):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8. Требования к выделению этапов строительства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сведения о необходимости выделения этапов строительства)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9. Срок строительства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10. Требования к основным технико-экономическим показателям объекта (площадь, объем, протяженность, количество этажей, производственная мощность, пропускная способность, грузооборот, интенсивность движения и другие показатели):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 xml:space="preserve">11. Идентификационные признаки объекта, которые устанавливаются в соответствии со </w:t>
            </w:r>
            <w:hyperlink r:id="rId11">
              <w:r>
                <w:rPr>
                  <w:color w:val="0000FF"/>
                </w:rPr>
                <w:t>статьей 4</w:t>
              </w:r>
            </w:hyperlink>
            <w:r>
              <w:t xml:space="preserve"> Федерального закона от 30 декабря 2009 г. N 384-ФЗ "Технический регламент о безопасности зданий и сооружений" (Собрание законодательства Российской Федерации, 2010, N 1, ст. 5), и включают в себя: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11.1. Назначение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11.2. Принадлежность к объектам транспортной инфраструктуры и к другим объектам, функционально-технологические особенности, которые влияют на их безопасность: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11.3. Возможность возникновения опасных природных процессов, явлений и техногенных воздействий на территории, на которой будет осуществляться строительство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11.4. Принадлежность к опасным производственным объектам: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11.5. Пожарная и взрывопожарная опасность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540"/>
              <w:jc w:val="both"/>
            </w:pPr>
            <w:r>
              <w:t>(указывается категория пожарной (взрывопожарной) опасности объекта)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lastRenderedPageBreak/>
              <w:t>11.6. Наличие в объекте помещений с постоянным пребыванием людей: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 xml:space="preserve">11.7. Уровень ответственности объекта (устанавливается согласно </w:t>
            </w:r>
            <w:hyperlink r:id="rId12">
              <w:r>
                <w:rPr>
                  <w:color w:val="0000FF"/>
                </w:rPr>
                <w:t>пункту 7 части 1</w:t>
              </w:r>
            </w:hyperlink>
            <w:r>
              <w:t xml:space="preserve"> и </w:t>
            </w:r>
            <w:hyperlink r:id="rId13">
              <w:r>
                <w:rPr>
                  <w:color w:val="0000FF"/>
                </w:rPr>
                <w:t>части 7 статьи 4</w:t>
              </w:r>
            </w:hyperlink>
            <w:r>
              <w:t xml:space="preserve"> Федерального закона от 30 декабря 2009 г. N 384-ФЗ "Технический регламент о безопасности зданий и сооружений" (Собрание законодательства Российской Федерации, 2010, N 1, ст. 5):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(повышенный, нормальный, пониженный)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12. Требования о необходимости соответствия проектной документации обоснованию безопасности опасного производственного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в случае подготовки проектной документации в отношении опасного производственного объекта)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 xml:space="preserve">13. Требования к качеству, конкурентоспособности, </w:t>
            </w:r>
            <w:proofErr w:type="spellStart"/>
            <w:r>
              <w:t>экологичности</w:t>
            </w:r>
            <w:proofErr w:type="spellEnd"/>
            <w:r>
              <w:t xml:space="preserve"> и </w:t>
            </w:r>
            <w:proofErr w:type="spellStart"/>
            <w:r>
              <w:t>энергоэффективности</w:t>
            </w:r>
            <w:proofErr w:type="spellEnd"/>
            <w:r>
              <w:t xml:space="preserve"> проектных решений: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(указываются требования о том, что проектная документация и принятые в ней решения должны соответствовать установленным требованиям (необходимо указать перечень реквизитов нормативных правовых актов, технических регламентов, нормативных документов), а также соответствовать установленному классу </w:t>
            </w:r>
            <w:proofErr w:type="spellStart"/>
            <w:r>
              <w:t>энергоэффективности</w:t>
            </w:r>
            <w:proofErr w:type="spellEnd"/>
            <w:r>
              <w:t xml:space="preserve"> (не ниже класса "C")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14. Необходимость выполнения инженерных изысканий для подготовки проектной документации: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выполнения инженерных изысканий в объеме, необходимом и достаточном для подготовки проектной документации, или указываются реквизиты (прикладываются) материалов инженерных изысканий, необходимых и достаточных для подготовки проектной документации)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15. Предполагаемая (предельная) стоимость строительства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стоимость строительства объекта, определенная с применением укрупненных нормативов цены строительства, а при их отсутствии - с учетом документально подтвержденных сведений о сметной стоимости объектов, аналогичных по назначению, проектной мощности, природным и иным условиям территории, на которой планируется осуществлять строительство)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16. Принадлежность объекта к объектам культурного наследия (памятникам истории и культуры) народов Российской Федерации: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  <w:outlineLvl w:val="1"/>
            </w:pPr>
            <w:r>
              <w:t>II. Перечень основных требований к проектным решениям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17. Требования к схеме планировочной организации земельного участка: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для объектов производственного и непроизводственного назначения)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18. Требования к проекту полосы отвода: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для линейных объектов)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19. Требования к архитектурно-художественным решениям, включая требования к графическим материалам: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для объектов производственного и непроизводственного назначения)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20. Требования к технологическим решениям: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 Требования к конструктивным и объемно-планировочным решениям (указываются для объектов производственного и непроизводственного назначения):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21.1. Порядок выбора и применения материалов, изделий, конструкций, оборудования и их согласования застройщиком (техническим заказчиком):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порядок направления проектной организацией вариантов применяемых материалов, изделий, конструкций, оборудования и их рассмотрения и согласования застройщиком (техническим заказчиком)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21.2. Требования к строительным конструкциям: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(в том числе указываются требования по применению в конструкциях и отделке высококачественных износоустойчивых, экологически чистых материалов)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21.3. Требования к фундаментам: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разработки решений фундаментов с учетом результатов инженерных изысканий, а также технико-экономического сравнения вариантов)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21.4. Требования к стенам, подвалам и цокольному этажу: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lastRenderedPageBreak/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21.5. Требования к наружным стенам: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21.6. Требования к внутренним стенам и перегородкам: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21.7. Требования к перекрытиям: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21.8. Требования к колоннам, ригелям: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21.9. Требования к лестницам: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21.10. Требования к полам: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22.11. Требования к кровле: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21.12. Требования к витражам, окнам: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lastRenderedPageBreak/>
              <w:t>21.13. Требования к дверям: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применения материалов, изделий, конструкций либо определяются конкретные требования к материалам, изделиям, конструкциям)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21.14. Требования к внутренней отделке: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эстетические и эксплуатационные характеристики отделочных материалов, включая текстуру поверхности, цветовую гамму и оттенки, необходимость применения материалов для внутренней отделки объекта на основании вариантов цветовых решений помещений объекта)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21.15. Требования к наружной отделке: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эстетические и эксплуатационные характеристики отделочных материалов, включая текстуру поверхности, цветовую гамму и оттенки, необходимость применения материалов для наружной отделки объекта на основании вариантов цветовых решений фасадов объекта)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21.16. Требования к обеспечению безопасности объекта при опасных природных процессах, явлениях и техногенных воздействиях: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в случае, если строительство и эксплуатация объекта планируются в сложных природных условиях)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21.17. Требования к инженерной защите территории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в случае, если строительство и эксплуатация объекта планируются в сложных природных условиях)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22. Требования к технологическим и конструктивным решениям линейного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для линейных объектов)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23. Требования к зданиям, строениям и сооружениям, входящим в инфраструктуру линейного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для линейных объектов)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 Требования к инженерно-техническим решениям (указываются при необходимости):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24.1. Требования к основному технологическому оборудованию (указываются тип и основные характеристики по укрупненной номенклатуре, требования к составу оборудования (основное и комплектующее технологическое и вспомогательное оборудование), требование о выборе оборудования на основании технико-экономических расчетов, технико-</w:t>
            </w:r>
            <w:r>
              <w:lastRenderedPageBreak/>
              <w:t>экономического сравнения вариантов):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24.1.1. Отопление: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24.1.2. Вентиляция: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24.1.3. Водопровод: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24.1.4. Канализация: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24.1.5. Электроснабжение: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24.1.6. Телефонизация: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24.1.7. Радиофикация: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24.1.8. Информационно-телекоммуникационная сеть "Интернет":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24.1.9. Телевидение: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24.1.10. Газификация: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24.1.11. Автоматизация и диспетчеризация: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24.1.12. Иные сети инженерно-технического обеспечения: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 Требования к наружным сетям инженерно-технического обеспечения, точкам присоединения (указываются требования к объемам проектирования внешних сетей и реквизиты полученных технических условий, которые прилагаются к заданию на проектирование):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24.2.1. Водоснабжение: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24.2.2. Водоотведение: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24.2.3. Теплоснабжение: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24.2.4. Электроснабжение: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24.2.5. Телефонизация: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24.2.6. Радиофикация: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24.2.7. Информационно-телекоммуникационная сеть "Интернет":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24.2.8. Телевидение: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24.2.9. Газоснабжение: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24.2.10. Иные сети инженерно-технического обеспечения: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25. Требования к мероприятиям по охране окружающей среды: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26. Требования к мероприятиям по обеспечению пожарной безопасности: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27.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в отношении объектов, на которые распространяются требования энергетической эффективности и требования оснащенности их приборами учета используемых энергетических ресурсов)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28. Требования к мероприятиям по обеспечению доступа маломобильных групп населения к объекту: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(указываются для объектов здравоохранения, образования, культуры, отдыха, спорта и иных объектов социально-культурного и коммунально-бытового назначения, объектов транспорта, </w:t>
            </w:r>
            <w:r>
              <w:lastRenderedPageBreak/>
              <w:t>торговли, общественного питания, объектов делового, административного, финансового, религиозного назначения, объектов жилищного фонда)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lastRenderedPageBreak/>
              <w:t>29. Требования к инженерно-техническому укреплению объекта в целях обеспечения его антитеррористической защищенности: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(указывается необходимость выполнения мероприятий и (или) соответствующих разделов проектной документации в соответствии с требованиями технических регламентов с учетом функционального назначения и параметров объекта, а также требованиями </w:t>
            </w:r>
            <w:hyperlink r:id="rId14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Российской Федерации от 25 декабря 2013 г. N 1244 "Об антитеррористической защищенности объектов (территорий)" (Собрание законодательства Российской Федерации, 2013, N 52, ст. 7220; 2022, N 11, ст. 1683)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30.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необходимость выполнения мероприятий и (или) подготовки соответствующих разделов проектной документации в соответствии с требованиями технических регламентов, экологических и санитарно-гигиенических требований, а также с учетом функционального назначения предприятия (объекта)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31. Требования к технической эксплуатации и техническому обслуживанию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32. Требования к проекту организации строительства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33. Требования о необходимости сноса или сохранения зданий, сооружений, вырубки или сохранения зеленых насаждений, реконструкции, капитального ремонта существующих линейных объектов в связи с планируемым строительством объекта, расположенных на земельном участке, на котором планируется строительство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34. Требования к решениям по благоустройству прилегающей территории, малым архитектурным формам и планировочной организации земельного участка: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(указываются решения по благоустройству, озеленению территории объекта, обустройству площадок и малых архитектурных форм в соответствии с утвержденной документацией по планировке территории, согласованными эскизами организации земельного участка объекта и </w:t>
            </w:r>
            <w:proofErr w:type="gramStart"/>
            <w:r>
              <w:t>его благоустройства</w:t>
            </w:r>
            <w:proofErr w:type="gramEnd"/>
            <w:r>
              <w:t xml:space="preserve"> и озеленения)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35. Требования к разработке проекта рекультивации земель: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(указываются в случае необходимости проведения рекультивации земель согласно </w:t>
            </w:r>
            <w:hyperlink r:id="rId15">
              <w:r>
                <w:rPr>
                  <w:color w:val="0000FF"/>
                </w:rPr>
                <w:t>пункту 5 статьи 13</w:t>
              </w:r>
            </w:hyperlink>
            <w:r>
              <w:t xml:space="preserve"> Земельного кодекса Российской Федерации (Собрание законодательства </w:t>
            </w:r>
            <w:r>
              <w:lastRenderedPageBreak/>
              <w:t>Российской Федерации, 2001, N 44, ст. 4147; 2016, N 27, ст. 4267)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lastRenderedPageBreak/>
              <w:t>36. Требования к местам складирования излишков грунта и (или) мусора при строительстве и протяженность маршрута их доставки: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при необходимости с учетом требований правовых актов органов местного самоуправления)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37. Требования к выполнению научно-исследовательских и опытно-конструкторских работ в процессе проектирования и строительства объекта: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в случае необходимости выполнения научно-исследовательских, опытно-конструкторских работ при проектировании и строительстве объекта)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  <w:outlineLvl w:val="1"/>
            </w:pPr>
            <w:r>
              <w:t>III. Иные требования к проектированию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38. Требования к составу проектной документации, в том числе требования о разработке разделов проектной документации, наличие которых не является обязательным (указываются при необходимости):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(указываются в соответствии с </w:t>
            </w:r>
            <w:hyperlink r:id="rId1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февраля 2008 г. N 87 "О составе разделов проектной документации и требованиях к их содержанию" (Собрание законодательства Российской Федерации, 2008, N 8, ст. 744; 2021, N 50, ст. 8553) с учетом функционального назначения объекта)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39. Требования к подготовке сметной документации: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требования к подготовке сметной документации, в том числе метод определения сметной стоимости строительства)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40. Требования к разработке специальных технических условий: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(указываются в случаях, когда разработка и применение специальных технических условий допускаются Федеральным </w:t>
            </w:r>
            <w:hyperlink r:id="rId17">
              <w:r>
                <w:rPr>
                  <w:color w:val="0000FF"/>
                </w:rPr>
                <w:t>законом</w:t>
              </w:r>
            </w:hyperlink>
            <w:r>
              <w:t xml:space="preserve"> от 30 декабря 2009 г. N 384-ФЗ "Технический регламент о безопасности зданий и сооружений" (Собрание законодательства Российской Федерации, 2010, N 1, ст. 5; 2013, N 27, ст. 3477) и </w:t>
            </w:r>
            <w:hyperlink r:id="rId1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Российской Федерации от 16 февраля 2008 г. N 87 "О составе разделов проектной документации и требованиях к их содержанию")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41. Требования о применении при разработке проектной документации документов в области стандартизации: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lastRenderedPageBreak/>
              <w:t>42. Требования к выполнению демонстрационных материалов, макетов: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(указываются в случае принятия застройщиком (техническим заказчиком) решения о выполнении демонстрационных материалов, макетов)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43. Требования о подготовке проектной документации, содержащей материалы в форме информационной модели (указываются при необходимости):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44. Требование о применении типовой проектной документации, типового проектного решения: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(указывается в случае принятия застройщиком (техническим заказчиком) решения о применении типовой проектной документации, типового проектного решения)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45. Прочие дополнительные требования и указания, конкретизирующие объем проектных работ (указываются при необходимости):</w:t>
            </w:r>
          </w:p>
        </w:tc>
      </w:tr>
      <w:tr w:rsidR="00361EE1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ind w:firstLine="283"/>
              <w:jc w:val="both"/>
            </w:pPr>
            <w:r>
              <w:t>46. К заданию на проектирование прилагаются: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46.1. Градостроительный план земельного участка и (или) проект планировки территории, и (или) проект межевания территории.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46.2. Результаты инженерных изысканий (при их отсутствии заданием на проектирование предусматривается необходимость выполнения инженерных изысканий в объеме, необходимом и достаточном для подготовки проектной документации).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46.3. Технические условия подключения (технологического присоединения) объектов капитального строительства к сетям инженерно-технического обеспечения (при их отсутствии и, если они необходимы, заданием на проектирование предусматривается задание на их получение).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 xml:space="preserve">46.4. Сведения о надземных и </w:t>
            </w:r>
            <w:proofErr w:type="gramStart"/>
            <w:r>
              <w:t>подземных инженерных сооружениях</w:t>
            </w:r>
            <w:proofErr w:type="gramEnd"/>
            <w:r>
              <w:t xml:space="preserve"> и коммуникациях (при наличии).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46.5. Решение о предварительном согласовании места размещения объекта (при наличии).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46.6. Документ, подтверждающий полномочия лица, утверждающего задание на проектирование.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 xml:space="preserve">46.7. Решение о подготовке документации по планировке территории (в случае, предусмотренном </w:t>
            </w:r>
            <w:hyperlink r:id="rId19">
              <w:r>
                <w:rPr>
                  <w:color w:val="0000FF"/>
                </w:rPr>
                <w:t>частью 11.1 статьи 48</w:t>
              </w:r>
            </w:hyperlink>
            <w:r>
              <w:t xml:space="preserve"> Градостроительного кодекса Российской Федерации (Собрание законодательства Российской Федерации, 2005, N 1, ст. 16; 2019, N 52, ст. 7790).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 xml:space="preserve">46.8. Чертеж границ зон планируемого размещения линейного объекта, сведения о его характеристиках и схема планировочных решений, предусмотренные разрабатываемой документацией по планировке территории линейного объекта (в случае, предусмотренном </w:t>
            </w:r>
            <w:hyperlink r:id="rId20">
              <w:r>
                <w:rPr>
                  <w:color w:val="0000FF"/>
                </w:rPr>
                <w:t>частью 11.1 статьи 48</w:t>
              </w:r>
            </w:hyperlink>
            <w:r>
              <w:t xml:space="preserve"> Градостроительного кодекса Российской Федерации).</w:t>
            </w:r>
          </w:p>
          <w:p w:rsidR="00361EE1" w:rsidRDefault="00361EE1">
            <w:pPr>
              <w:pStyle w:val="ConsPlusNormal"/>
              <w:ind w:firstLine="283"/>
              <w:jc w:val="both"/>
            </w:pPr>
            <w:r>
              <w:t>46.9. Иные документы и материалы, необходимые для проектирования, в случаях, предусмотренных законодательством Российской Федерации.</w:t>
            </w:r>
          </w:p>
        </w:tc>
      </w:tr>
    </w:tbl>
    <w:p w:rsidR="00361EE1" w:rsidRDefault="00361EE1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453"/>
        <w:gridCol w:w="680"/>
        <w:gridCol w:w="396"/>
        <w:gridCol w:w="1474"/>
        <w:gridCol w:w="340"/>
        <w:gridCol w:w="2494"/>
      </w:tblGrid>
      <w:tr w:rsidR="00361EE1">
        <w:tc>
          <w:tcPr>
            <w:tcW w:w="43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  <w:tr w:rsidR="00361EE1">
        <w:tblPrEx>
          <w:tblBorders>
            <w:insideH w:val="none" w:sz="0" w:space="0" w:color="auto"/>
          </w:tblBorders>
        </w:tblPrEx>
        <w:tc>
          <w:tcPr>
            <w:tcW w:w="436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 xml:space="preserve">(должность уполномоченного лица застройщика (технического заказчика), осуществляющего подготовку задания на </w:t>
            </w:r>
            <w:r>
              <w:lastRenderedPageBreak/>
              <w:t>проектирование)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361EE1">
        <w:tblPrEx>
          <w:tblBorders>
            <w:insideH w:val="none" w:sz="0" w:space="0" w:color="auto"/>
          </w:tblBorders>
        </w:tblPrEx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  <w:r>
              <w:lastRenderedPageBreak/>
              <w:t>"__" ____________________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  <w:jc w:val="center"/>
            </w:pPr>
            <w:r>
              <w:t>г.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361EE1" w:rsidRDefault="00361EE1">
            <w:pPr>
              <w:pStyle w:val="ConsPlusNormal"/>
            </w:pPr>
          </w:p>
        </w:tc>
      </w:tr>
    </w:tbl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ind w:firstLine="540"/>
        <w:jc w:val="both"/>
      </w:pPr>
      <w:r>
        <w:t>--------------------------------</w:t>
      </w:r>
    </w:p>
    <w:p w:rsidR="00361EE1" w:rsidRDefault="00361EE1">
      <w:pPr>
        <w:pStyle w:val="ConsPlusNormal"/>
        <w:spacing w:before="220"/>
        <w:ind w:firstLine="540"/>
        <w:jc w:val="both"/>
      </w:pPr>
      <w:bookmarkStart w:id="2" w:name="P312"/>
      <w:bookmarkEnd w:id="2"/>
      <w:r>
        <w:t>&lt;1&gt; Указывается лицо, осуществляющее подготовку задания на проектирование (застройщик или технический заказчик)</w:t>
      </w: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jc w:val="both"/>
      </w:pPr>
    </w:p>
    <w:p w:rsidR="00361EE1" w:rsidRDefault="00361EE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D658FB" w:rsidRDefault="00D658FB"/>
    <w:sectPr w:rsidR="00D658FB" w:rsidSect="006B1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EE1"/>
    <w:rsid w:val="00361EE1"/>
    <w:rsid w:val="00D6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BDFCE-6F5D-44B5-B745-4A0EAFD2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1EE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61EE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61EE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7231&amp;dst=100043" TargetMode="External"/><Relationship Id="rId13" Type="http://schemas.openxmlformats.org/officeDocument/2006/relationships/hyperlink" Target="https://login.consultant.ru/link/?req=doc&amp;base=LAW&amp;n=148719&amp;dst=100075" TargetMode="External"/><Relationship Id="rId18" Type="http://schemas.openxmlformats.org/officeDocument/2006/relationships/hyperlink" Target="https://login.consultant.ru/link/?req=doc&amp;base=LAW&amp;n=457934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63855&amp;dst=133" TargetMode="External"/><Relationship Id="rId12" Type="http://schemas.openxmlformats.org/officeDocument/2006/relationships/hyperlink" Target="https://login.consultant.ru/link/?req=doc&amp;base=LAW&amp;n=148719&amp;dst=100069" TargetMode="External"/><Relationship Id="rId17" Type="http://schemas.openxmlformats.org/officeDocument/2006/relationships/hyperlink" Target="https://login.consultant.ru/link/?req=doc&amp;base=LAW&amp;n=14871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57934" TargetMode="External"/><Relationship Id="rId20" Type="http://schemas.openxmlformats.org/officeDocument/2006/relationships/hyperlink" Target="https://login.consultant.ru/link/?req=doc&amp;base=LAW&amp;n=450837&amp;dst=10203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837&amp;dst=3803" TargetMode="External"/><Relationship Id="rId11" Type="http://schemas.openxmlformats.org/officeDocument/2006/relationships/hyperlink" Target="https://login.consultant.ru/link/?req=doc&amp;base=LAW&amp;n=148719&amp;dst=100061" TargetMode="External"/><Relationship Id="rId5" Type="http://schemas.openxmlformats.org/officeDocument/2006/relationships/hyperlink" Target="https://login.consultant.ru/link/?req=doc&amp;base=LAW&amp;n=457231&amp;dst=100043" TargetMode="External"/><Relationship Id="rId15" Type="http://schemas.openxmlformats.org/officeDocument/2006/relationships/hyperlink" Target="https://login.consultant.ru/link/?req=doc&amp;base=LAW&amp;n=465787&amp;dst=1559" TargetMode="External"/><Relationship Id="rId10" Type="http://schemas.openxmlformats.org/officeDocument/2006/relationships/hyperlink" Target="https://login.consultant.ru/link/?req=doc&amp;base=LAW&amp;n=359976&amp;dst=100010" TargetMode="External"/><Relationship Id="rId19" Type="http://schemas.openxmlformats.org/officeDocument/2006/relationships/hyperlink" Target="https://login.consultant.ru/link/?req=doc&amp;base=LAW&amp;n=450837&amp;dst=10203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7934&amp;dst=100046" TargetMode="External"/><Relationship Id="rId14" Type="http://schemas.openxmlformats.org/officeDocument/2006/relationships/hyperlink" Target="https://login.consultant.ru/link/?req=doc&amp;base=LAW&amp;n=4110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3351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2024-01-19T11:36:00Z</dcterms:created>
  <dcterms:modified xsi:type="dcterms:W3CDTF">2024-01-19T11:37:00Z</dcterms:modified>
</cp:coreProperties>
</file>